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0FC6D" w14:textId="77777777" w:rsidR="007F08DD" w:rsidRPr="00B801A7" w:rsidRDefault="00CC614C">
      <w:pPr>
        <w:spacing w:after="29" w:line="416" w:lineRule="auto"/>
        <w:ind w:left="0" w:firstLine="0"/>
        <w:jc w:val="center"/>
        <w:rPr>
          <w:color w:val="000000" w:themeColor="text1"/>
          <w:sz w:val="32"/>
        </w:rPr>
      </w:pPr>
      <w:r w:rsidRPr="00B801A7">
        <w:rPr>
          <w:color w:val="000000" w:themeColor="text1"/>
          <w:sz w:val="32"/>
        </w:rPr>
        <w:t>東海大學文學院華語文教學國際碩士學位學程</w:t>
      </w:r>
    </w:p>
    <w:p w14:paraId="432A43C5" w14:textId="5D223249" w:rsidR="00E3264B" w:rsidRPr="00B801A7" w:rsidRDefault="00DA363D" w:rsidP="007F08DD">
      <w:pPr>
        <w:spacing w:after="29" w:line="416" w:lineRule="auto"/>
        <w:ind w:left="0" w:firstLine="0"/>
        <w:jc w:val="center"/>
        <w:rPr>
          <w:color w:val="000000" w:themeColor="text1"/>
          <w:sz w:val="32"/>
        </w:rPr>
      </w:pPr>
      <w:r w:rsidRPr="00B801A7">
        <w:rPr>
          <w:rFonts w:hint="eastAsia"/>
          <w:color w:val="000000" w:themeColor="text1"/>
          <w:sz w:val="32"/>
        </w:rPr>
        <w:t>碩士班先修課程</w:t>
      </w:r>
      <w:r w:rsidR="00CC614C" w:rsidRPr="00B801A7">
        <w:rPr>
          <w:color w:val="000000" w:themeColor="text1"/>
          <w:sz w:val="32"/>
        </w:rPr>
        <w:t xml:space="preserve">施行要點 </w:t>
      </w:r>
    </w:p>
    <w:p w14:paraId="4776B821" w14:textId="77777777" w:rsidR="00E3264B" w:rsidRPr="00B801A7" w:rsidRDefault="00CC614C" w:rsidP="00FD66DA">
      <w:pPr>
        <w:spacing w:after="0" w:line="240" w:lineRule="exact"/>
        <w:ind w:left="11" w:right="-17" w:hanging="11"/>
        <w:jc w:val="right"/>
        <w:rPr>
          <w:color w:val="000000" w:themeColor="text1"/>
        </w:rPr>
      </w:pPr>
      <w:r w:rsidRPr="00B801A7">
        <w:rPr>
          <w:rFonts w:cs="Times New Roman"/>
          <w:color w:val="000000" w:themeColor="text1"/>
          <w:sz w:val="20"/>
        </w:rPr>
        <w:t>110</w:t>
      </w:r>
      <w:r w:rsidRPr="00B801A7">
        <w:rPr>
          <w:color w:val="000000" w:themeColor="text1"/>
          <w:sz w:val="20"/>
        </w:rPr>
        <w:t>年</w:t>
      </w:r>
      <w:r w:rsidRPr="00B801A7">
        <w:rPr>
          <w:rFonts w:cs="Times New Roman"/>
          <w:color w:val="000000" w:themeColor="text1"/>
          <w:sz w:val="20"/>
        </w:rPr>
        <w:t>1</w:t>
      </w:r>
      <w:r w:rsidRPr="00B801A7">
        <w:rPr>
          <w:color w:val="000000" w:themeColor="text1"/>
          <w:sz w:val="20"/>
        </w:rPr>
        <w:t>月</w:t>
      </w:r>
      <w:r w:rsidRPr="00B801A7">
        <w:rPr>
          <w:rFonts w:cs="Times New Roman"/>
          <w:color w:val="000000" w:themeColor="text1"/>
          <w:sz w:val="20"/>
        </w:rPr>
        <w:t>7</w:t>
      </w:r>
      <w:r w:rsidRPr="00B801A7">
        <w:rPr>
          <w:color w:val="000000" w:themeColor="text1"/>
          <w:sz w:val="20"/>
        </w:rPr>
        <w:t>日學程會議通過</w:t>
      </w:r>
      <w:r w:rsidRPr="00B801A7">
        <w:rPr>
          <w:rFonts w:cs="Times New Roman"/>
          <w:color w:val="000000" w:themeColor="text1"/>
          <w:sz w:val="20"/>
        </w:rPr>
        <w:t xml:space="preserve"> </w:t>
      </w:r>
    </w:p>
    <w:p w14:paraId="673D313C" w14:textId="77777777" w:rsidR="00FD66DA" w:rsidRPr="00B801A7" w:rsidRDefault="00CC614C" w:rsidP="00FD66DA">
      <w:pPr>
        <w:spacing w:after="0" w:line="240" w:lineRule="exact"/>
        <w:ind w:left="11" w:right="-17" w:hanging="11"/>
        <w:jc w:val="right"/>
        <w:rPr>
          <w:color w:val="000000" w:themeColor="text1"/>
          <w:sz w:val="20"/>
        </w:rPr>
      </w:pPr>
      <w:r w:rsidRPr="00B801A7">
        <w:rPr>
          <w:rFonts w:cs="Times New Roman"/>
          <w:color w:val="000000" w:themeColor="text1"/>
          <w:sz w:val="20"/>
        </w:rPr>
        <w:t>110</w:t>
      </w:r>
      <w:r w:rsidRPr="00B801A7">
        <w:rPr>
          <w:color w:val="000000" w:themeColor="text1"/>
          <w:sz w:val="20"/>
        </w:rPr>
        <w:t>年</w:t>
      </w:r>
      <w:r w:rsidRPr="00B801A7">
        <w:rPr>
          <w:rFonts w:cs="Times New Roman"/>
          <w:color w:val="000000" w:themeColor="text1"/>
          <w:sz w:val="20"/>
        </w:rPr>
        <w:t>3</w:t>
      </w:r>
      <w:r w:rsidRPr="00B801A7">
        <w:rPr>
          <w:color w:val="000000" w:themeColor="text1"/>
          <w:sz w:val="20"/>
        </w:rPr>
        <w:t>月</w:t>
      </w:r>
      <w:r w:rsidRPr="00B801A7">
        <w:rPr>
          <w:rFonts w:cs="Times New Roman"/>
          <w:color w:val="000000" w:themeColor="text1"/>
          <w:sz w:val="20"/>
        </w:rPr>
        <w:t>9</w:t>
      </w:r>
      <w:r w:rsidRPr="00B801A7">
        <w:rPr>
          <w:color w:val="000000" w:themeColor="text1"/>
          <w:sz w:val="20"/>
        </w:rPr>
        <w:t>日院</w:t>
      </w:r>
      <w:proofErr w:type="gramStart"/>
      <w:r w:rsidRPr="00B801A7">
        <w:rPr>
          <w:color w:val="000000" w:themeColor="text1"/>
          <w:sz w:val="20"/>
        </w:rPr>
        <w:t>務</w:t>
      </w:r>
      <w:proofErr w:type="gramEnd"/>
      <w:r w:rsidRPr="00B801A7">
        <w:rPr>
          <w:color w:val="000000" w:themeColor="text1"/>
          <w:sz w:val="20"/>
        </w:rPr>
        <w:t>會議通過</w:t>
      </w:r>
    </w:p>
    <w:p w14:paraId="3082A27B" w14:textId="37405372" w:rsidR="00E3264B" w:rsidRPr="00B801A7" w:rsidRDefault="00CC614C" w:rsidP="00FD66DA">
      <w:pPr>
        <w:spacing w:after="0" w:line="240" w:lineRule="exact"/>
        <w:ind w:left="11" w:right="-17" w:hanging="11"/>
        <w:jc w:val="right"/>
        <w:rPr>
          <w:rFonts w:cs="新細明體"/>
          <w:color w:val="000000" w:themeColor="text1"/>
          <w:sz w:val="20"/>
        </w:rPr>
      </w:pPr>
      <w:r w:rsidRPr="00B801A7">
        <w:rPr>
          <w:rFonts w:cs="Times New Roman"/>
          <w:color w:val="000000" w:themeColor="text1"/>
          <w:sz w:val="20"/>
        </w:rPr>
        <w:t xml:space="preserve"> </w:t>
      </w:r>
      <w:r w:rsidR="00FD66DA" w:rsidRPr="00B801A7">
        <w:rPr>
          <w:rFonts w:cs="Times New Roman" w:hint="eastAsia"/>
          <w:color w:val="000000" w:themeColor="text1"/>
          <w:sz w:val="20"/>
        </w:rPr>
        <w:t>113</w:t>
      </w:r>
      <w:r w:rsidR="00FD66DA" w:rsidRPr="00B801A7">
        <w:rPr>
          <w:rFonts w:cs="新細明體" w:hint="eastAsia"/>
          <w:color w:val="000000" w:themeColor="text1"/>
          <w:sz w:val="20"/>
        </w:rPr>
        <w:t>年4月30日學程會議通過</w:t>
      </w:r>
    </w:p>
    <w:p w14:paraId="39CE156E" w14:textId="7B5A0073" w:rsidR="00D20587" w:rsidRPr="00B801A7" w:rsidRDefault="00D20587" w:rsidP="00FD66DA">
      <w:pPr>
        <w:spacing w:after="0" w:line="240" w:lineRule="exact"/>
        <w:ind w:left="11" w:right="-17" w:hanging="11"/>
        <w:jc w:val="right"/>
        <w:rPr>
          <w:rFonts w:cs="新細明體"/>
          <w:color w:val="000000" w:themeColor="text1"/>
          <w:sz w:val="20"/>
        </w:rPr>
      </w:pPr>
      <w:r w:rsidRPr="00B801A7">
        <w:rPr>
          <w:rFonts w:cs="新細明體" w:hint="eastAsia"/>
          <w:color w:val="000000" w:themeColor="text1"/>
          <w:sz w:val="20"/>
        </w:rPr>
        <w:t>113年6月12日院</w:t>
      </w:r>
      <w:proofErr w:type="gramStart"/>
      <w:r w:rsidRPr="00B801A7">
        <w:rPr>
          <w:rFonts w:cs="新細明體" w:hint="eastAsia"/>
          <w:color w:val="000000" w:themeColor="text1"/>
          <w:sz w:val="20"/>
        </w:rPr>
        <w:t>務</w:t>
      </w:r>
      <w:proofErr w:type="gramEnd"/>
      <w:r w:rsidRPr="00B801A7">
        <w:rPr>
          <w:rFonts w:cs="新細明體" w:hint="eastAsia"/>
          <w:color w:val="000000" w:themeColor="text1"/>
          <w:sz w:val="20"/>
        </w:rPr>
        <w:t>會議通過</w:t>
      </w:r>
    </w:p>
    <w:p w14:paraId="46D047D1" w14:textId="4F68C52D" w:rsidR="00183E9A" w:rsidRPr="00B801A7" w:rsidRDefault="00183E9A" w:rsidP="00FD66DA">
      <w:pPr>
        <w:spacing w:after="0" w:line="240" w:lineRule="exact"/>
        <w:ind w:left="11" w:right="-17" w:hanging="11"/>
        <w:jc w:val="right"/>
        <w:rPr>
          <w:rFonts w:cs="新細明體"/>
          <w:color w:val="000000" w:themeColor="text1"/>
          <w:sz w:val="20"/>
          <w:u w:val="single"/>
        </w:rPr>
      </w:pPr>
      <w:r w:rsidRPr="00B801A7">
        <w:rPr>
          <w:rFonts w:cs="新細明體" w:hint="eastAsia"/>
          <w:color w:val="000000" w:themeColor="text1"/>
          <w:sz w:val="20"/>
          <w:u w:val="single"/>
        </w:rPr>
        <w:t>114年2月</w:t>
      </w:r>
      <w:r w:rsidR="000151C0" w:rsidRPr="00B801A7">
        <w:rPr>
          <w:rFonts w:cs="新細明體" w:hint="eastAsia"/>
          <w:color w:val="000000" w:themeColor="text1"/>
          <w:sz w:val="20"/>
          <w:u w:val="single"/>
        </w:rPr>
        <w:t>2</w:t>
      </w:r>
      <w:r w:rsidRPr="00B801A7">
        <w:rPr>
          <w:rFonts w:cs="新細明體" w:hint="eastAsia"/>
          <w:color w:val="000000" w:themeColor="text1"/>
          <w:sz w:val="20"/>
          <w:u w:val="single"/>
        </w:rPr>
        <w:t>0日學程會議通過</w:t>
      </w:r>
    </w:p>
    <w:p w14:paraId="01612944" w14:textId="23999D26" w:rsidR="00B801A7" w:rsidRPr="00B801A7" w:rsidRDefault="00B801A7" w:rsidP="00FD66DA">
      <w:pPr>
        <w:spacing w:after="0" w:line="240" w:lineRule="exact"/>
        <w:ind w:left="11" w:right="-17" w:hanging="11"/>
        <w:jc w:val="right"/>
        <w:rPr>
          <w:rFonts w:cs="新細明體" w:hint="eastAsia"/>
          <w:color w:val="000000" w:themeColor="text1"/>
          <w:sz w:val="20"/>
          <w:u w:val="single"/>
        </w:rPr>
      </w:pPr>
      <w:r w:rsidRPr="00B801A7">
        <w:rPr>
          <w:rFonts w:cs="新細明體" w:hint="eastAsia"/>
          <w:color w:val="000000" w:themeColor="text1"/>
          <w:sz w:val="20"/>
          <w:u w:val="single"/>
        </w:rPr>
        <w:t>114年4月21日院</w:t>
      </w:r>
      <w:proofErr w:type="gramStart"/>
      <w:r w:rsidRPr="00B801A7">
        <w:rPr>
          <w:rFonts w:cs="新細明體" w:hint="eastAsia"/>
          <w:color w:val="000000" w:themeColor="text1"/>
          <w:sz w:val="20"/>
          <w:u w:val="single"/>
        </w:rPr>
        <w:t>務</w:t>
      </w:r>
      <w:proofErr w:type="gramEnd"/>
      <w:r w:rsidRPr="00B801A7">
        <w:rPr>
          <w:rFonts w:cs="新細明體" w:hint="eastAsia"/>
          <w:color w:val="000000" w:themeColor="text1"/>
          <w:sz w:val="20"/>
          <w:u w:val="single"/>
        </w:rPr>
        <w:t>會議通過</w:t>
      </w:r>
    </w:p>
    <w:p w14:paraId="4226CF64" w14:textId="77777777" w:rsidR="00FD66DA" w:rsidRPr="00B801A7" w:rsidRDefault="00FD66DA" w:rsidP="00FD66DA">
      <w:pPr>
        <w:spacing w:after="0" w:line="240" w:lineRule="exact"/>
        <w:ind w:left="11" w:right="-17" w:hanging="11"/>
        <w:jc w:val="right"/>
        <w:rPr>
          <w:color w:val="000000" w:themeColor="text1"/>
        </w:rPr>
      </w:pPr>
    </w:p>
    <w:p w14:paraId="1EA01005" w14:textId="6A794419" w:rsidR="00E3264B" w:rsidRPr="00B801A7" w:rsidRDefault="00CC614C">
      <w:pPr>
        <w:numPr>
          <w:ilvl w:val="0"/>
          <w:numId w:val="1"/>
        </w:numPr>
        <w:ind w:hanging="708"/>
        <w:rPr>
          <w:color w:val="000000" w:themeColor="text1"/>
        </w:rPr>
      </w:pPr>
      <w:r w:rsidRPr="00B801A7">
        <w:rPr>
          <w:color w:val="000000" w:themeColor="text1"/>
        </w:rPr>
        <w:t>為協助本校學士班成績優異學生提前修讀華語文教學國際碩士學位學程 (以下簡稱本學程)課程，預先規劃專業暨學術研究方向，採取</w:t>
      </w:r>
      <w:r w:rsidR="00FD66DA" w:rsidRPr="00B801A7">
        <w:rPr>
          <w:rFonts w:hint="eastAsia"/>
          <w:color w:val="000000" w:themeColor="text1"/>
        </w:rPr>
        <w:t>碩士班先修課程</w:t>
      </w:r>
      <w:r w:rsidRPr="00B801A7">
        <w:rPr>
          <w:color w:val="000000" w:themeColor="text1"/>
        </w:rPr>
        <w:t>攻讀學碩士學位，以期達到縮短修業年限之目的，茲依據「東海大學</w:t>
      </w:r>
      <w:r w:rsidR="00FD66DA" w:rsidRPr="00B801A7">
        <w:rPr>
          <w:rFonts w:hint="eastAsia"/>
          <w:color w:val="000000" w:themeColor="text1"/>
        </w:rPr>
        <w:t>碩士班先修課程</w:t>
      </w:r>
      <w:r w:rsidRPr="00B801A7">
        <w:rPr>
          <w:color w:val="000000" w:themeColor="text1"/>
        </w:rPr>
        <w:t xml:space="preserve">實施要點」特訂定本施行要點。 </w:t>
      </w:r>
    </w:p>
    <w:p w14:paraId="15166B18" w14:textId="328770DF" w:rsidR="00E3264B" w:rsidRPr="00B801A7" w:rsidRDefault="00CC614C" w:rsidP="00FD66DA">
      <w:pPr>
        <w:numPr>
          <w:ilvl w:val="0"/>
          <w:numId w:val="1"/>
        </w:numPr>
        <w:spacing w:after="0"/>
        <w:ind w:hanging="708"/>
        <w:rPr>
          <w:color w:val="000000" w:themeColor="text1"/>
        </w:rPr>
      </w:pPr>
      <w:r w:rsidRPr="00B801A7">
        <w:rPr>
          <w:color w:val="000000" w:themeColor="text1"/>
        </w:rPr>
        <w:t>本校大學部大三學生以上（含）欲取得本學程</w:t>
      </w:r>
      <w:r w:rsidR="00FD66DA" w:rsidRPr="00B801A7">
        <w:rPr>
          <w:rFonts w:hint="eastAsia"/>
          <w:color w:val="000000" w:themeColor="text1"/>
        </w:rPr>
        <w:t>碩士班</w:t>
      </w:r>
      <w:r w:rsidRPr="00B801A7">
        <w:rPr>
          <w:color w:val="000000" w:themeColor="text1"/>
        </w:rPr>
        <w:t>先修</w:t>
      </w:r>
      <w:r w:rsidR="00FD66DA" w:rsidRPr="00B801A7">
        <w:rPr>
          <w:rFonts w:hint="eastAsia"/>
          <w:color w:val="000000" w:themeColor="text1"/>
        </w:rPr>
        <w:t>課程</w:t>
      </w:r>
      <w:r w:rsidRPr="00B801A7">
        <w:rPr>
          <w:color w:val="000000" w:themeColor="text1"/>
        </w:rPr>
        <w:t>資格者，應於每學期依公告向本學程提出申請。由本學程成立甄選委員會審核並擇優錄取。錄取名單經學程會議核定後公布之，並送註冊組登錄於學生主檔，</w:t>
      </w:r>
      <w:proofErr w:type="gramStart"/>
      <w:r w:rsidRPr="00B801A7">
        <w:rPr>
          <w:color w:val="000000" w:themeColor="text1"/>
        </w:rPr>
        <w:t>俾</w:t>
      </w:r>
      <w:proofErr w:type="gramEnd"/>
      <w:r w:rsidRPr="00B801A7">
        <w:rPr>
          <w:color w:val="000000" w:themeColor="text1"/>
        </w:rPr>
        <w:t xml:space="preserve">進行選課、畢業審查及碩士班學分抵免之管理。 </w:t>
      </w:r>
    </w:p>
    <w:p w14:paraId="18173649" w14:textId="75671D65" w:rsidR="00E3264B" w:rsidRPr="00B801A7" w:rsidRDefault="00CC614C">
      <w:pPr>
        <w:numPr>
          <w:ilvl w:val="0"/>
          <w:numId w:val="1"/>
        </w:numPr>
        <w:ind w:hanging="708"/>
        <w:rPr>
          <w:color w:val="000000" w:themeColor="text1"/>
        </w:rPr>
      </w:pPr>
      <w:r w:rsidRPr="00B801A7">
        <w:rPr>
          <w:color w:val="000000" w:themeColor="text1"/>
        </w:rPr>
        <w:t>錄取</w:t>
      </w:r>
      <w:r w:rsidR="00FD66DA" w:rsidRPr="00B801A7">
        <w:rPr>
          <w:rFonts w:hint="eastAsia"/>
          <w:color w:val="000000" w:themeColor="text1"/>
        </w:rPr>
        <w:t>碩士班先修課程</w:t>
      </w:r>
      <w:r w:rsidRPr="00B801A7">
        <w:rPr>
          <w:color w:val="000000" w:themeColor="text1"/>
        </w:rPr>
        <w:t xml:space="preserve">之學生（以下簡稱錄取生），得依學校及本學程之規定提前選修碩士班課程，兼具學士學位候選人及碩士班預備研究生資格。 </w:t>
      </w:r>
    </w:p>
    <w:p w14:paraId="4D8A5BB2" w14:textId="77777777" w:rsidR="00E3264B" w:rsidRPr="00B801A7" w:rsidRDefault="00CC614C">
      <w:pPr>
        <w:numPr>
          <w:ilvl w:val="0"/>
          <w:numId w:val="1"/>
        </w:numPr>
        <w:ind w:hanging="708"/>
        <w:rPr>
          <w:color w:val="000000" w:themeColor="text1"/>
        </w:rPr>
      </w:pPr>
      <w:r w:rsidRPr="00B801A7">
        <w:rPr>
          <w:color w:val="000000" w:themeColor="text1"/>
        </w:rPr>
        <w:t xml:space="preserve">本學程可協助錄取生選定指導教授，由指導教授輔導選課及協助訂定研究專題，以期該生能在本校五年內獲取學、碩士學位。 </w:t>
      </w:r>
    </w:p>
    <w:p w14:paraId="4FEC98F3" w14:textId="77777777" w:rsidR="00E3264B" w:rsidRPr="00B801A7" w:rsidRDefault="00CC614C">
      <w:pPr>
        <w:numPr>
          <w:ilvl w:val="0"/>
          <w:numId w:val="1"/>
        </w:numPr>
        <w:ind w:hanging="708"/>
        <w:rPr>
          <w:color w:val="000000" w:themeColor="text1"/>
        </w:rPr>
      </w:pPr>
      <w:r w:rsidRPr="00B801A7">
        <w:rPr>
          <w:color w:val="000000" w:themeColor="text1"/>
        </w:rPr>
        <w:t xml:space="preserve">錄取生應與碩士班入學考試一般考生公平參加入學甄試或考試，經通過甄試或考試錄取，始取得本學程碩士班學生之資格。 </w:t>
      </w:r>
    </w:p>
    <w:p w14:paraId="42B48196" w14:textId="526AB6A9" w:rsidR="00E3264B" w:rsidRPr="00B801A7" w:rsidRDefault="00CC614C">
      <w:pPr>
        <w:numPr>
          <w:ilvl w:val="0"/>
          <w:numId w:val="1"/>
        </w:numPr>
        <w:ind w:hanging="708"/>
        <w:rPr>
          <w:color w:val="000000" w:themeColor="text1"/>
        </w:rPr>
      </w:pPr>
      <w:r w:rsidRPr="00B801A7">
        <w:rPr>
          <w:color w:val="000000" w:themeColor="text1"/>
        </w:rPr>
        <w:t>錄取生於學士班曾修習碩士班科目學分，成績達七十分以上者，且該學分未列畢業學分數內，經審定得抵免碩士班畢業學分，抵免學分數依照東海大學</w:t>
      </w:r>
      <w:r w:rsidR="00FD66DA" w:rsidRPr="00B801A7">
        <w:rPr>
          <w:rFonts w:hint="eastAsia"/>
          <w:color w:val="000000" w:themeColor="text1"/>
        </w:rPr>
        <w:t>碩士班先修課程</w:t>
      </w:r>
      <w:r w:rsidRPr="00B801A7">
        <w:rPr>
          <w:color w:val="000000" w:themeColor="text1"/>
        </w:rPr>
        <w:t xml:space="preserve">施行要點有關學分抵免之規定辦理。 </w:t>
      </w:r>
    </w:p>
    <w:p w14:paraId="21DC3322" w14:textId="7D8E7154" w:rsidR="00E3264B" w:rsidRPr="00B801A7" w:rsidRDefault="00CC614C">
      <w:pPr>
        <w:numPr>
          <w:ilvl w:val="0"/>
          <w:numId w:val="1"/>
        </w:numPr>
        <w:ind w:hanging="708"/>
        <w:rPr>
          <w:color w:val="000000" w:themeColor="text1"/>
        </w:rPr>
      </w:pPr>
      <w:r w:rsidRPr="00B801A7">
        <w:rPr>
          <w:color w:val="000000" w:themeColor="text1"/>
        </w:rPr>
        <w:t>錄取生之學分</w:t>
      </w:r>
      <w:proofErr w:type="gramStart"/>
      <w:r w:rsidRPr="00B801A7">
        <w:rPr>
          <w:color w:val="000000" w:themeColor="text1"/>
        </w:rPr>
        <w:t>抵免不受</w:t>
      </w:r>
      <w:proofErr w:type="gramEnd"/>
      <w:r w:rsidRPr="00B801A7">
        <w:rPr>
          <w:color w:val="000000" w:themeColor="text1"/>
        </w:rPr>
        <w:t>本校學生抵免學分辦法有關研究生抵免學分上限規定之限制。</w:t>
      </w:r>
      <w:proofErr w:type="gramStart"/>
      <w:r w:rsidRPr="00B801A7">
        <w:rPr>
          <w:color w:val="000000" w:themeColor="text1"/>
        </w:rPr>
        <w:t>碩士班抵免</w:t>
      </w:r>
      <w:proofErr w:type="gramEnd"/>
      <w:r w:rsidRPr="00B801A7">
        <w:rPr>
          <w:color w:val="000000" w:themeColor="text1"/>
        </w:rPr>
        <w:t>學分之申請，應於入學當學期加退選截止日前辦理，申請辦理學分</w:t>
      </w:r>
      <w:proofErr w:type="gramStart"/>
      <w:r w:rsidRPr="00B801A7">
        <w:rPr>
          <w:color w:val="000000" w:themeColor="text1"/>
        </w:rPr>
        <w:t>抵免以一次</w:t>
      </w:r>
      <w:proofErr w:type="gramEnd"/>
      <w:r w:rsidRPr="00B801A7">
        <w:rPr>
          <w:color w:val="000000" w:themeColor="text1"/>
        </w:rPr>
        <w:t xml:space="preserve">為限。 </w:t>
      </w:r>
    </w:p>
    <w:p w14:paraId="7E91B8AE" w14:textId="77777777" w:rsidR="00183E9A" w:rsidRPr="00B801A7" w:rsidRDefault="00183E9A" w:rsidP="00183E9A">
      <w:pPr>
        <w:numPr>
          <w:ilvl w:val="0"/>
          <w:numId w:val="1"/>
        </w:numPr>
        <w:rPr>
          <w:color w:val="000000" w:themeColor="text1"/>
          <w:u w:val="single"/>
        </w:rPr>
      </w:pPr>
      <w:r w:rsidRPr="00B801A7">
        <w:rPr>
          <w:rFonts w:hint="eastAsia"/>
          <w:color w:val="000000" w:themeColor="text1"/>
          <w:u w:val="single"/>
        </w:rPr>
        <w:t>自</w:t>
      </w:r>
      <w:r w:rsidRPr="00B801A7">
        <w:rPr>
          <w:color w:val="000000" w:themeColor="text1"/>
          <w:u w:val="single"/>
        </w:rPr>
        <w:t>109 學年度起申請修習碩士班先修課程者，如有下列情形，取消其碩士班先修課程資格，其學分抵免依本校學生抵免學分辦法第三條第七款規定辦</w:t>
      </w:r>
      <w:r w:rsidRPr="00B801A7">
        <w:rPr>
          <w:rFonts w:hint="eastAsia"/>
          <w:color w:val="000000" w:themeColor="text1"/>
          <w:u w:val="single"/>
        </w:rPr>
        <w:t>理。</w:t>
      </w:r>
    </w:p>
    <w:p w14:paraId="0402E06E" w14:textId="77777777" w:rsidR="00183E9A" w:rsidRPr="00B801A7" w:rsidRDefault="00183E9A" w:rsidP="00183E9A">
      <w:pPr>
        <w:ind w:left="708" w:firstLine="0"/>
        <w:rPr>
          <w:color w:val="000000" w:themeColor="text1"/>
          <w:u w:val="single"/>
        </w:rPr>
      </w:pPr>
      <w:r w:rsidRPr="00B801A7">
        <w:rPr>
          <w:color w:val="000000" w:themeColor="text1"/>
          <w:u w:val="single"/>
        </w:rPr>
        <w:lastRenderedPageBreak/>
        <w:t>(</w:t>
      </w:r>
      <w:proofErr w:type="gramStart"/>
      <w:r w:rsidRPr="00B801A7">
        <w:rPr>
          <w:color w:val="000000" w:themeColor="text1"/>
          <w:u w:val="single"/>
        </w:rPr>
        <w:t>一</w:t>
      </w:r>
      <w:proofErr w:type="gramEnd"/>
      <w:r w:rsidRPr="00B801A7">
        <w:rPr>
          <w:color w:val="000000" w:themeColor="text1"/>
          <w:u w:val="single"/>
        </w:rPr>
        <w:t>) 未於修業年限內畢業而延長修業者。但因修</w:t>
      </w:r>
      <w:r w:rsidRPr="00B801A7">
        <w:rPr>
          <w:rFonts w:hint="eastAsia"/>
          <w:color w:val="000000" w:themeColor="text1"/>
          <w:u w:val="single"/>
        </w:rPr>
        <w:t>讀並取得雙主修、教育學程畢業資格或完成經學校核准至國外</w:t>
      </w:r>
      <w:proofErr w:type="gramStart"/>
      <w:r w:rsidRPr="00B801A7">
        <w:rPr>
          <w:rFonts w:hint="eastAsia"/>
          <w:color w:val="000000" w:themeColor="text1"/>
          <w:u w:val="single"/>
        </w:rPr>
        <w:t>修讀雙聯</w:t>
      </w:r>
      <w:proofErr w:type="gramEnd"/>
      <w:r w:rsidRPr="00B801A7">
        <w:rPr>
          <w:rFonts w:hint="eastAsia"/>
          <w:color w:val="000000" w:themeColor="text1"/>
          <w:u w:val="single"/>
        </w:rPr>
        <w:t>學位、交換學習者，不在此限。</w:t>
      </w:r>
    </w:p>
    <w:p w14:paraId="7D689F3E" w14:textId="77777777" w:rsidR="00183E9A" w:rsidRPr="00B801A7" w:rsidRDefault="00183E9A" w:rsidP="00183E9A">
      <w:pPr>
        <w:ind w:left="708" w:firstLine="0"/>
        <w:rPr>
          <w:color w:val="000000" w:themeColor="text1"/>
          <w:u w:val="single"/>
        </w:rPr>
      </w:pPr>
    </w:p>
    <w:p w14:paraId="5C9E9747" w14:textId="31B21213" w:rsidR="00183E9A" w:rsidRPr="00B801A7" w:rsidRDefault="00183E9A" w:rsidP="00183E9A">
      <w:pPr>
        <w:ind w:left="708" w:firstLine="0"/>
        <w:rPr>
          <w:color w:val="000000" w:themeColor="text1"/>
          <w:u w:val="single"/>
        </w:rPr>
      </w:pPr>
      <w:r w:rsidRPr="00B801A7">
        <w:rPr>
          <w:color w:val="000000" w:themeColor="text1"/>
          <w:u w:val="single"/>
        </w:rPr>
        <w:t>(二) 未能於畢業當年度銜接入學碩士班者。</w:t>
      </w:r>
    </w:p>
    <w:p w14:paraId="11CFCC37" w14:textId="77777777" w:rsidR="00682072" w:rsidRPr="00E270DA" w:rsidRDefault="00CC614C">
      <w:pPr>
        <w:numPr>
          <w:ilvl w:val="0"/>
          <w:numId w:val="1"/>
        </w:numPr>
        <w:spacing w:line="417" w:lineRule="auto"/>
        <w:ind w:hanging="708"/>
        <w:rPr>
          <w:color w:val="auto"/>
        </w:rPr>
      </w:pPr>
      <w:r w:rsidRPr="00E270DA">
        <w:rPr>
          <w:color w:val="auto"/>
        </w:rPr>
        <w:t>本要點若有未盡事宜，悉依本校相關法規辦理。</w:t>
      </w:r>
    </w:p>
    <w:p w14:paraId="17A25873" w14:textId="66A5BEC5" w:rsidR="00E3264B" w:rsidRPr="00E270DA" w:rsidRDefault="00CC614C">
      <w:pPr>
        <w:numPr>
          <w:ilvl w:val="0"/>
          <w:numId w:val="1"/>
        </w:numPr>
        <w:spacing w:line="417" w:lineRule="auto"/>
        <w:ind w:hanging="708"/>
        <w:rPr>
          <w:color w:val="auto"/>
        </w:rPr>
      </w:pPr>
      <w:r w:rsidRPr="00E270DA">
        <w:rPr>
          <w:color w:val="auto"/>
        </w:rPr>
        <w:t>本要點經學程會議通過，院</w:t>
      </w:r>
      <w:proofErr w:type="gramStart"/>
      <w:r w:rsidRPr="00E270DA">
        <w:rPr>
          <w:color w:val="auto"/>
        </w:rPr>
        <w:t>務</w:t>
      </w:r>
      <w:proofErr w:type="gramEnd"/>
      <w:r w:rsidRPr="00E270DA">
        <w:rPr>
          <w:color w:val="auto"/>
        </w:rPr>
        <w:t xml:space="preserve">會議核定後實施。 </w:t>
      </w:r>
    </w:p>
    <w:sectPr w:rsidR="00E3264B" w:rsidRPr="00E270D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F9310" w14:textId="77777777" w:rsidR="007E152B" w:rsidRDefault="007E152B" w:rsidP="00DA363D">
      <w:pPr>
        <w:spacing w:after="0" w:line="240" w:lineRule="auto"/>
      </w:pPr>
      <w:r>
        <w:separator/>
      </w:r>
    </w:p>
  </w:endnote>
  <w:endnote w:type="continuationSeparator" w:id="0">
    <w:p w14:paraId="6B285705" w14:textId="77777777" w:rsidR="007E152B" w:rsidRDefault="007E152B" w:rsidP="00DA3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1627F" w14:textId="77777777" w:rsidR="007E152B" w:rsidRDefault="007E152B" w:rsidP="00DA363D">
      <w:pPr>
        <w:spacing w:after="0" w:line="240" w:lineRule="auto"/>
      </w:pPr>
      <w:r>
        <w:separator/>
      </w:r>
    </w:p>
  </w:footnote>
  <w:footnote w:type="continuationSeparator" w:id="0">
    <w:p w14:paraId="0303E5E8" w14:textId="77777777" w:rsidR="007E152B" w:rsidRDefault="007E152B" w:rsidP="00DA36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4F51"/>
    <w:multiLevelType w:val="hybridMultilevel"/>
    <w:tmpl w:val="3AC879F6"/>
    <w:lvl w:ilvl="0" w:tplc="573863C0">
      <w:start w:val="1"/>
      <w:numFmt w:val="ideographDigital"/>
      <w:lvlText w:val="%1、"/>
      <w:lvlJc w:val="left"/>
      <w:pPr>
        <w:ind w:left="70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25BE592E">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C1F66F74">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3670D24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B6EE747A">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E7D6C112">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448C07BC">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1CAE89F4">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BF8273BC">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64B"/>
    <w:rsid w:val="000151C0"/>
    <w:rsid w:val="00183E9A"/>
    <w:rsid w:val="0029356D"/>
    <w:rsid w:val="00412422"/>
    <w:rsid w:val="004C36AF"/>
    <w:rsid w:val="00682072"/>
    <w:rsid w:val="00682260"/>
    <w:rsid w:val="007D1763"/>
    <w:rsid w:val="007E152B"/>
    <w:rsid w:val="007F08DD"/>
    <w:rsid w:val="00851FEE"/>
    <w:rsid w:val="00A756AC"/>
    <w:rsid w:val="00AB13F9"/>
    <w:rsid w:val="00B801A7"/>
    <w:rsid w:val="00CC0220"/>
    <w:rsid w:val="00CC614C"/>
    <w:rsid w:val="00D20587"/>
    <w:rsid w:val="00D23ECF"/>
    <w:rsid w:val="00DA363D"/>
    <w:rsid w:val="00E270DA"/>
    <w:rsid w:val="00E3264B"/>
    <w:rsid w:val="00F31FC9"/>
    <w:rsid w:val="00FD2964"/>
    <w:rsid w:val="00FD66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B1F20"/>
  <w15:docId w15:val="{4CEF0FD4-8C20-463B-BA0F-39CCC9FFF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79" w:line="278" w:lineRule="auto"/>
      <w:ind w:left="718" w:hanging="718"/>
    </w:pPr>
    <w:rPr>
      <w:rFonts w:ascii="標楷體" w:eastAsia="標楷體" w:hAnsi="標楷體" w:cs="標楷體"/>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363D"/>
    <w:pPr>
      <w:tabs>
        <w:tab w:val="center" w:pos="4153"/>
        <w:tab w:val="right" w:pos="8306"/>
      </w:tabs>
      <w:snapToGrid w:val="0"/>
    </w:pPr>
    <w:rPr>
      <w:sz w:val="20"/>
      <w:szCs w:val="20"/>
    </w:rPr>
  </w:style>
  <w:style w:type="character" w:customStyle="1" w:styleId="a4">
    <w:name w:val="頁首 字元"/>
    <w:basedOn w:val="a0"/>
    <w:link w:val="a3"/>
    <w:uiPriority w:val="99"/>
    <w:rsid w:val="00DA363D"/>
    <w:rPr>
      <w:rFonts w:ascii="標楷體" w:eastAsia="標楷體" w:hAnsi="標楷體" w:cs="標楷體"/>
      <w:color w:val="000000"/>
      <w:sz w:val="20"/>
      <w:szCs w:val="20"/>
    </w:rPr>
  </w:style>
  <w:style w:type="paragraph" w:styleId="a5">
    <w:name w:val="footer"/>
    <w:basedOn w:val="a"/>
    <w:link w:val="a6"/>
    <w:uiPriority w:val="99"/>
    <w:unhideWhenUsed/>
    <w:rsid w:val="00DA363D"/>
    <w:pPr>
      <w:tabs>
        <w:tab w:val="center" w:pos="4153"/>
        <w:tab w:val="right" w:pos="8306"/>
      </w:tabs>
      <w:snapToGrid w:val="0"/>
    </w:pPr>
    <w:rPr>
      <w:sz w:val="20"/>
      <w:szCs w:val="20"/>
    </w:rPr>
  </w:style>
  <w:style w:type="character" w:customStyle="1" w:styleId="a6">
    <w:name w:val="頁尾 字元"/>
    <w:basedOn w:val="a0"/>
    <w:link w:val="a5"/>
    <w:uiPriority w:val="99"/>
    <w:rsid w:val="00DA363D"/>
    <w:rPr>
      <w:rFonts w:ascii="標楷體" w:eastAsia="標楷體" w:hAnsi="標楷體" w:cs="標楷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491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ictvt.thu@gmail.com</cp:lastModifiedBy>
  <cp:revision>2</cp:revision>
  <dcterms:created xsi:type="dcterms:W3CDTF">2025-06-30T00:34:00Z</dcterms:created>
  <dcterms:modified xsi:type="dcterms:W3CDTF">2025-06-30T00:34:00Z</dcterms:modified>
</cp:coreProperties>
</file>